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Times New Roman" w:hAnsi="Times New Roman" w:eastAsia="方正小标宋简体"/>
          <w:color w:val="auto"/>
          <w:szCs w:val="32"/>
          <w:lang w:eastAsia="zh-CN"/>
        </w:rPr>
      </w:pPr>
      <w:r>
        <w:rPr>
          <w:rFonts w:hint="eastAsia" w:ascii="Times New Roman" w:hAnsi="Times New Roman" w:eastAsia="方正小标宋简体"/>
          <w:color w:val="auto"/>
          <w:szCs w:val="32"/>
        </w:rPr>
        <w:t>第</w:t>
      </w:r>
      <w:r>
        <w:rPr>
          <w:rFonts w:hint="eastAsia" w:ascii="Times New Roman" w:hAnsi="Times New Roman" w:eastAsia="方正小标宋简体"/>
          <w:color w:val="auto"/>
          <w:szCs w:val="32"/>
          <w:lang w:eastAsia="zh-CN"/>
        </w:rPr>
        <w:t>六</w:t>
      </w:r>
      <w:r>
        <w:rPr>
          <w:rFonts w:hint="eastAsia" w:ascii="Times New Roman" w:hAnsi="Times New Roman" w:eastAsia="方正小标宋简体"/>
          <w:color w:val="auto"/>
          <w:szCs w:val="32"/>
        </w:rPr>
        <w:t>类</w:t>
      </w:r>
      <w:r>
        <w:rPr>
          <w:rFonts w:hint="eastAsia" w:ascii="Times New Roman" w:hAnsi="Times New Roman" w:eastAsia="方正小标宋简体"/>
          <w:color w:val="auto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小标宋简体"/>
          <w:color w:val="auto"/>
          <w:szCs w:val="32"/>
        </w:rPr>
        <w:t>食品经营许可现场核查</w:t>
      </w:r>
      <w:r>
        <w:rPr>
          <w:rFonts w:hint="eastAsia" w:ascii="Times New Roman" w:hAnsi="Times New Roman" w:eastAsia="方正小标宋简体"/>
          <w:color w:val="auto"/>
          <w:szCs w:val="32"/>
          <w:lang w:eastAsia="zh-CN"/>
        </w:rPr>
        <w:t>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楷体"/>
          <w:b/>
          <w:color w:val="auto"/>
          <w:szCs w:val="32"/>
        </w:rPr>
      </w:pPr>
      <w:r>
        <w:rPr>
          <w:rFonts w:hint="eastAsia" w:ascii="Times New Roman" w:hAnsi="Times New Roman" w:eastAsia="楷体"/>
          <w:color w:val="auto"/>
          <w:szCs w:val="32"/>
        </w:rPr>
        <w:t>（适用于利用自动设备从事食品经营的经营者）</w:t>
      </w:r>
    </w:p>
    <w:p>
      <w:pPr>
        <w:snapToGrid w:val="0"/>
        <w:spacing w:line="300" w:lineRule="exact"/>
        <w:rPr>
          <w:rFonts w:hint="eastAsia" w:ascii="Times New Roman" w:hAnsi="Times New Roman" w:cs="仿宋_GB2312"/>
          <w:color w:val="auto"/>
          <w:sz w:val="24"/>
        </w:rPr>
      </w:pPr>
      <w:r>
        <w:rPr>
          <w:rFonts w:hint="eastAsia" w:ascii="Times New Roman" w:hAnsi="Times New Roman" w:cs="仿宋_GB2312"/>
          <w:color w:val="auto"/>
          <w:sz w:val="24"/>
        </w:rPr>
        <w:t xml:space="preserve">                 </w:t>
      </w:r>
    </w:p>
    <w:tbl>
      <w:tblPr>
        <w:tblStyle w:val="5"/>
        <w:tblW w:w="9621" w:type="dxa"/>
        <w:tblInd w:w="-54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48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4815" w:type="dxa"/>
            <w:vAlign w:val="center"/>
          </w:tcPr>
          <w:p>
            <w:pPr>
              <w:snapToGrid w:val="0"/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</w:rPr>
              <w:t>经营者名称：</w:t>
            </w: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4806" w:type="dxa"/>
            <w:vAlign w:val="center"/>
          </w:tcPr>
          <w:p>
            <w:pPr>
              <w:snapToGrid w:val="0"/>
              <w:spacing w:line="30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</w:rPr>
              <w:t>地址：</w:t>
            </w: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815" w:type="dxa"/>
            <w:vAlign w:val="center"/>
          </w:tcPr>
          <w:p>
            <w:pPr>
              <w:snapToGrid w:val="0"/>
              <w:spacing w:line="300" w:lineRule="exact"/>
              <w:jc w:val="both"/>
              <w:rPr>
                <w:rFonts w:hint="eastAsia" w:ascii="仿宋_GB2312" w:hAnsi="仿宋_GB2312" w:cs="仿宋_GB2312"/>
                <w:color w:val="auto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</w:rPr>
              <w:t xml:space="preserve">申请经营业态: </w:t>
            </w: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4"/>
              </w:rPr>
              <w:t xml:space="preserve"> </w:t>
            </w:r>
          </w:p>
        </w:tc>
        <w:tc>
          <w:tcPr>
            <w:tcW w:w="4806" w:type="dxa"/>
            <w:vAlign w:val="center"/>
          </w:tcPr>
          <w:p>
            <w:pPr>
              <w:snapToGrid w:val="0"/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</w:rPr>
              <w:t>申请经营项目：</w:t>
            </w: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</w:tr>
    </w:tbl>
    <w:p>
      <w:pPr>
        <w:snapToGrid w:val="0"/>
        <w:spacing w:line="300" w:lineRule="exact"/>
        <w:rPr>
          <w:rFonts w:hint="eastAsia" w:ascii="Times New Roman" w:hAnsi="Times New Roman" w:cs="仿宋_GB2312"/>
          <w:color w:val="auto"/>
          <w:sz w:val="24"/>
        </w:rPr>
      </w:pPr>
    </w:p>
    <w:tbl>
      <w:tblPr>
        <w:tblStyle w:val="4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5462"/>
        <w:gridCol w:w="523"/>
        <w:gridCol w:w="763"/>
        <w:gridCol w:w="945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226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  <w:t>核查内容</w:t>
            </w:r>
          </w:p>
        </w:tc>
        <w:tc>
          <w:tcPr>
            <w:tcW w:w="5462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  <w:t>核查和评价标准</w:t>
            </w:r>
          </w:p>
        </w:tc>
        <w:tc>
          <w:tcPr>
            <w:tcW w:w="523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lang w:eastAsia="zh-CN"/>
              </w:rPr>
              <w:t>序</w:t>
            </w: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  <w:t>号</w:t>
            </w:r>
          </w:p>
        </w:tc>
        <w:tc>
          <w:tcPr>
            <w:tcW w:w="2428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  <w:t>结果判定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226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</w:p>
        </w:tc>
        <w:tc>
          <w:tcPr>
            <w:tcW w:w="5462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</w:p>
        </w:tc>
        <w:tc>
          <w:tcPr>
            <w:tcW w:w="523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  <w:t>符合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  <w:t>不符合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</w:rPr>
              <w:t>合理缺项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8" w:hRule="atLeast"/>
          <w:jc w:val="center"/>
        </w:trPr>
        <w:tc>
          <w:tcPr>
            <w:tcW w:w="1226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 w:cs="仿宋_GB2312"/>
                <w:color w:val="auto"/>
                <w:sz w:val="24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</w:rPr>
              <w:t>1.管理制度</w:t>
            </w:r>
          </w:p>
        </w:tc>
        <w:tc>
          <w:tcPr>
            <w:tcW w:w="5462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Times New Roman" w:hAnsi="Times New Roman" w:cs="仿宋_GB2312"/>
                <w:color w:val="auto"/>
                <w:sz w:val="24"/>
                <w:lang w:val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zh-CN"/>
              </w:rPr>
              <w:t>经营者</w:t>
            </w:r>
            <w:r>
              <w:rPr>
                <w:rFonts w:hint="eastAsia" w:ascii="Times New Roman" w:hAnsi="Times New Roman" w:cs="仿宋_GB2312"/>
                <w:color w:val="auto"/>
                <w:sz w:val="24"/>
              </w:rPr>
              <w:t>有</w:t>
            </w:r>
            <w:r>
              <w:rPr>
                <w:rFonts w:hint="eastAsia" w:ascii="Times New Roman" w:hAnsi="Times New Roman" w:cs="仿宋_GB2312"/>
                <w:color w:val="auto"/>
                <w:sz w:val="24"/>
                <w:lang w:val="zh-CN"/>
              </w:rPr>
              <w:t>食品安全自查和巡查、进货查验记录、</w:t>
            </w:r>
            <w:r>
              <w:rPr>
                <w:rFonts w:hint="eastAsia" w:ascii="Times New Roman" w:hAnsi="Times New Roman" w:cs="仿宋_GB2312"/>
                <w:color w:val="auto"/>
                <w:sz w:val="24"/>
              </w:rPr>
              <w:t>食品安全追溯、</w:t>
            </w:r>
            <w:r>
              <w:rPr>
                <w:rFonts w:hint="eastAsia" w:ascii="Times New Roman" w:hAnsi="Times New Roman" w:cs="仿宋_GB2312"/>
                <w:color w:val="auto"/>
                <w:sz w:val="24"/>
                <w:lang w:val="zh-CN"/>
              </w:rPr>
              <w:t>设备投放场所及设备设施清洗清毒和维修保养、食品及食品原辅料贮存和清洗、变质或超过保质期处置、从业人员健康管理、食品安全事故处置方案以及食品安全风险管控方案等制度文本。经营者为企业的，还应</w:t>
            </w:r>
            <w:r>
              <w:rPr>
                <w:rFonts w:hint="eastAsia" w:ascii="Times New Roman" w:hAnsi="Times New Roman" w:cs="仿宋_GB2312"/>
                <w:color w:val="auto"/>
                <w:sz w:val="24"/>
              </w:rPr>
              <w:t>有日管控、周排查、月调度制度等制度。</w:t>
            </w:r>
          </w:p>
        </w:tc>
        <w:tc>
          <w:tcPr>
            <w:tcW w:w="52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仿宋_GB2312"/>
                <w:color w:val="auto"/>
                <w:sz w:val="24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</w:rPr>
              <w:t>1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9" w:hRule="atLeast"/>
          <w:jc w:val="center"/>
        </w:trPr>
        <w:tc>
          <w:tcPr>
            <w:tcW w:w="1226" w:type="dxa"/>
            <w:vMerge w:val="restart"/>
            <w:noWrap w:val="0"/>
            <w:vAlign w:val="center"/>
          </w:tcPr>
          <w:p>
            <w:pPr>
              <w:spacing w:line="360" w:lineRule="exact"/>
              <w:rPr>
                <w:rFonts w:hint="eastAsia" w:ascii="Times New Roman" w:hAnsi="Times New Roman" w:cs="仿宋_GB2312"/>
                <w:color w:val="auto"/>
                <w:sz w:val="24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</w:rPr>
              <w:t>2.设备功能</w:t>
            </w:r>
          </w:p>
        </w:tc>
        <w:tc>
          <w:tcPr>
            <w:tcW w:w="5462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Times New Roman" w:hAnsi="Times New Roman" w:cs="仿宋_GB2312"/>
                <w:color w:val="auto"/>
                <w:sz w:val="24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eastAsia="zh-CN"/>
              </w:rPr>
              <w:t>经营者需提供自动设备样机用于核查。</w:t>
            </w:r>
            <w:r>
              <w:rPr>
                <w:rFonts w:hint="eastAsia" w:ascii="Times New Roman" w:hAnsi="Times New Roman" w:cs="仿宋_GB2312"/>
                <w:color w:val="auto"/>
                <w:sz w:val="24"/>
              </w:rPr>
              <w:t>设备与提交的设备产品合格证明所述一致。直接接触食品及原料的材质符合食品安全国家标准</w:t>
            </w:r>
            <w:r>
              <w:rPr>
                <w:rFonts w:hint="eastAsia" w:ascii="Times New Roman" w:hAnsi="Times New Roman" w:cs="仿宋_GB2312"/>
                <w:color w:val="auto"/>
                <w:sz w:val="24"/>
                <w:lang w:eastAsia="zh-CN"/>
              </w:rPr>
              <w:t>。</w:t>
            </w:r>
          </w:p>
        </w:tc>
        <w:tc>
          <w:tcPr>
            <w:tcW w:w="52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仿宋_GB2312"/>
                <w:color w:val="auto"/>
                <w:sz w:val="24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</w:rPr>
              <w:t>2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  <w:jc w:val="center"/>
        </w:trPr>
        <w:tc>
          <w:tcPr>
            <w:tcW w:w="1226" w:type="dxa"/>
            <w:vMerge w:val="continue"/>
            <w:noWrap w:val="0"/>
            <w:vAlign w:val="center"/>
          </w:tcPr>
          <w:p>
            <w:pPr>
              <w:spacing w:line="360" w:lineRule="exact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  <w:tc>
          <w:tcPr>
            <w:tcW w:w="5462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Times New Roman" w:hAnsi="Times New Roman" w:cs="仿宋_GB2312"/>
                <w:color w:val="auto"/>
                <w:sz w:val="24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</w:rPr>
              <w:t>设备密闭性应能有效防止鼠、蝇、蟑螂等有害生物侵入。</w:t>
            </w:r>
          </w:p>
        </w:tc>
        <w:tc>
          <w:tcPr>
            <w:tcW w:w="52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仿宋_GB2312"/>
                <w:color w:val="auto"/>
                <w:sz w:val="24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</w:rPr>
              <w:t>3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1226" w:type="dxa"/>
            <w:vMerge w:val="continue"/>
            <w:noWrap w:val="0"/>
            <w:vAlign w:val="center"/>
          </w:tcPr>
          <w:p>
            <w:pPr>
              <w:spacing w:line="360" w:lineRule="exact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  <w:tc>
          <w:tcPr>
            <w:tcW w:w="5462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Times New Roman" w:hAnsi="Times New Roman" w:cs="仿宋_GB2312"/>
                <w:color w:val="auto"/>
                <w:sz w:val="24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</w:rPr>
              <w:t>设备具备经营食品所需的冷藏冷冻或者热藏功能条件，具有温度控制和监测设施。</w:t>
            </w:r>
          </w:p>
        </w:tc>
        <w:tc>
          <w:tcPr>
            <w:tcW w:w="52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仿宋_GB2312"/>
                <w:color w:val="auto"/>
                <w:sz w:val="24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</w:rPr>
              <w:t>4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atLeast"/>
          <w:jc w:val="center"/>
        </w:trPr>
        <w:tc>
          <w:tcPr>
            <w:tcW w:w="1226" w:type="dxa"/>
            <w:vMerge w:val="continue"/>
            <w:noWrap w:val="0"/>
            <w:vAlign w:val="center"/>
          </w:tcPr>
          <w:p>
            <w:pPr>
              <w:spacing w:line="360" w:lineRule="exact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  <w:tc>
          <w:tcPr>
            <w:tcW w:w="5462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Times New Roman" w:hAnsi="Times New Roman" w:cs="仿宋_GB2312"/>
                <w:color w:val="auto"/>
                <w:sz w:val="24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</w:rPr>
              <w:t>制售设备有清洁、消毒功能，能对食品原料及食品接触容器、管道及其他部位进行有效的清洗消毒。</w:t>
            </w:r>
          </w:p>
        </w:tc>
        <w:tc>
          <w:tcPr>
            <w:tcW w:w="52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仿宋_GB2312"/>
                <w:color w:val="auto"/>
                <w:sz w:val="24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</w:rPr>
              <w:t>5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1226" w:type="dxa"/>
            <w:vMerge w:val="continue"/>
            <w:noWrap w:val="0"/>
            <w:vAlign w:val="center"/>
          </w:tcPr>
          <w:p>
            <w:pPr>
              <w:spacing w:line="360" w:lineRule="exact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  <w:tc>
          <w:tcPr>
            <w:tcW w:w="5462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eastAsia="zh-CN"/>
              </w:rPr>
              <w:t>提供以上功能的验证报告。</w:t>
            </w:r>
          </w:p>
        </w:tc>
        <w:tc>
          <w:tcPr>
            <w:tcW w:w="52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9639" w:type="dxa"/>
            <w:gridSpan w:val="6"/>
            <w:noWrap w:val="0"/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核查意见</w:t>
            </w:r>
          </w:p>
          <w:p>
            <w:pPr>
              <w:widowControl/>
              <w:spacing w:line="340" w:lineRule="exact"/>
              <w:ind w:firstLine="48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widowControl/>
              <w:spacing w:line="340" w:lineRule="exact"/>
              <w:ind w:firstLine="480" w:firstLineChars="200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局（所）核查人员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根据《中华人民共和国食品安全法》等有关法律法规的规定，对该单位的食品经营场所进行了现场核查，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核查意见如下：</w:t>
            </w:r>
          </w:p>
          <w:p>
            <w:pPr>
              <w:widowControl/>
              <w:spacing w:line="340" w:lineRule="exact"/>
              <w:ind w:firstLine="482" w:firstLineChars="200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widowControl/>
              <w:spacing w:line="340" w:lineRule="exact"/>
              <w:ind w:firstLine="482" w:firstLineChars="200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□通过　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 xml:space="preserve">     现场核查符合要求。</w:t>
            </w:r>
          </w:p>
          <w:p>
            <w:pPr>
              <w:widowControl/>
              <w:spacing w:line="340" w:lineRule="exact"/>
              <w:ind w:firstLine="482" w:firstLineChars="200"/>
              <w:textAlignment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 xml:space="preserve">□限期整改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 xml:space="preserve"> 对照核查内容和评价标准限期进行整改完善。</w:t>
            </w:r>
          </w:p>
          <w:p>
            <w:pPr>
              <w:widowControl/>
              <w:spacing w:line="340" w:lineRule="exact"/>
              <w:ind w:firstLine="482" w:firstLineChars="200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 xml:space="preserve">□不予通过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退回整改后再行申请。</w:t>
            </w:r>
          </w:p>
          <w:p>
            <w:pPr>
              <w:widowControl/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/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核查人员签字：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年     月     日</w:t>
            </w:r>
          </w:p>
          <w:p>
            <w:pPr>
              <w:widowControl/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</w:pPr>
          </w:p>
          <w:p>
            <w:pPr>
              <w:spacing w:line="360" w:lineRule="exact"/>
              <w:jc w:val="center"/>
              <w:rPr>
                <w:rFonts w:hint="eastAsia" w:ascii="Times New Roman" w:hAnsi="Times New Roman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食品经营单位负责人签字：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E90967"/>
    <w:rsid w:val="20661F56"/>
    <w:rsid w:val="48E90967"/>
    <w:rsid w:val="548A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</w:pPr>
    <w:rPr>
      <w:rFonts w:ascii="仿宋" w:hAnsi="仿宋" w:eastAsia="仿宋"/>
      <w:sz w:val="30"/>
      <w:szCs w:val="30"/>
    </w:rPr>
  </w:style>
  <w:style w:type="paragraph" w:styleId="3">
    <w:name w:val="Body Text"/>
    <w:basedOn w:val="1"/>
    <w:qFormat/>
    <w:uiPriority w:val="0"/>
    <w:rPr>
      <w:rFonts w:hint="eastAsia" w:ascii="Times New Roman" w:hAnsi="Times New Roman" w:eastAsia="宋体" w:cs="Times New Roman"/>
      <w:sz w:val="32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416</Words>
  <Characters>418</Characters>
  <Lines>0</Lines>
  <Paragraphs>0</Paragraphs>
  <TotalTime>0</TotalTime>
  <ScaleCrop>false</ScaleCrop>
  <LinksUpToDate>false</LinksUpToDate>
  <CharactersWithSpaces>526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2025-03-05T10:45:00Z</dcterms:created>
  <dc:creator>刘力康</dc:creator>
  <cp:lastModifiedBy>邹清</cp:lastModifiedBy>
  <dcterms:modified xsi:type="dcterms:W3CDTF">2025-04-02T01:27:26Z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6F6D5E71E47740B1B2D7203E6FFCCEE1_11</vt:lpwstr>
  </property>
  <property fmtid="{D5CDD505-2E9C-101B-9397-08002B2CF9AE}" pid="4" name="KSOTemplateDocerSaveRecord">
    <vt:lpwstr>eyJoZGlkIjoiMjcwZThkNTY2OTUyN2Y2YzA1NWE5NTg2YjcwOWNlZDgiLCJ1c2VySWQiOiI2MzE2NDAyOTIifQ==</vt:lpwstr>
  </property>
</Properties>
</file>